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E3E60" w14:textId="77777777" w:rsidR="009E6C78" w:rsidRDefault="00000000">
      <w:pPr>
        <w:spacing w:line="240" w:lineRule="auto"/>
        <w:jc w:val="center"/>
        <w:rPr>
          <w:rFonts w:ascii="Verdana" w:hAnsi="Verdana"/>
          <w:b/>
        </w:rPr>
      </w:pPr>
      <w:r>
        <w:rPr>
          <w:rFonts w:ascii="Verdana" w:hAnsi="Verdana"/>
          <w:b/>
        </w:rPr>
        <w:t>Bicester Health Centre Patient Participation Group</w:t>
      </w:r>
    </w:p>
    <w:p w14:paraId="276B96F5" w14:textId="1368D576" w:rsidR="009E6C78" w:rsidRDefault="00000000">
      <w:pPr>
        <w:spacing w:line="240" w:lineRule="auto"/>
        <w:jc w:val="center"/>
        <w:rPr>
          <w:rFonts w:ascii="Verdana" w:hAnsi="Verdana"/>
          <w:b/>
        </w:rPr>
      </w:pPr>
      <w:r>
        <w:rPr>
          <w:rFonts w:ascii="Verdana" w:hAnsi="Verdana"/>
          <w:b/>
        </w:rPr>
        <w:t>In Person and Online Meeting Minutes (</w:t>
      </w:r>
      <w:r w:rsidR="00AF6FFC">
        <w:rPr>
          <w:rFonts w:ascii="Verdana" w:hAnsi="Verdana"/>
          <w:b/>
        </w:rPr>
        <w:t>APPROVED</w:t>
      </w:r>
      <w:r>
        <w:rPr>
          <w:rFonts w:ascii="Verdana" w:hAnsi="Verdana"/>
          <w:b/>
        </w:rPr>
        <w:t>)</w:t>
      </w:r>
    </w:p>
    <w:p w14:paraId="658B03AD" w14:textId="77777777" w:rsidR="009E6C78" w:rsidRDefault="00000000">
      <w:pPr>
        <w:spacing w:line="240" w:lineRule="auto"/>
        <w:jc w:val="center"/>
        <w:rPr>
          <w:rFonts w:ascii="Verdana" w:hAnsi="Verdana"/>
          <w:bCs/>
        </w:rPr>
      </w:pPr>
      <w:r>
        <w:rPr>
          <w:rFonts w:ascii="Verdana" w:hAnsi="Verdana"/>
          <w:bCs/>
        </w:rPr>
        <w:t>Wednesday 17</w:t>
      </w:r>
      <w:r>
        <w:rPr>
          <w:rFonts w:ascii="Verdana" w:hAnsi="Verdana"/>
          <w:bCs/>
          <w:vertAlign w:val="superscript"/>
        </w:rPr>
        <w:t>th</w:t>
      </w:r>
      <w:r>
        <w:rPr>
          <w:rFonts w:ascii="Verdana" w:hAnsi="Verdana"/>
          <w:bCs/>
        </w:rPr>
        <w:t xml:space="preserve"> June 2026 at 3.00 pm</w:t>
      </w:r>
    </w:p>
    <w:p w14:paraId="2118F96A" w14:textId="77777777" w:rsidR="009E6C78" w:rsidRDefault="00000000">
      <w:pPr>
        <w:spacing w:after="0" w:line="240" w:lineRule="auto"/>
        <w:rPr>
          <w:rFonts w:ascii="Verdana" w:hAnsi="Verdana"/>
        </w:rPr>
      </w:pPr>
      <w:r>
        <w:rPr>
          <w:rFonts w:ascii="Verdana" w:hAnsi="Verdana"/>
          <w:b/>
          <w:bCs/>
        </w:rPr>
        <w:t>Attending:</w:t>
      </w:r>
      <w:r>
        <w:rPr>
          <w:rFonts w:ascii="Verdana" w:hAnsi="Verdana"/>
        </w:rPr>
        <w:t xml:space="preserve"> BHC: Dr J Holt (JH), Clare Davis (CD)</w:t>
      </w:r>
    </w:p>
    <w:p w14:paraId="56250AC2" w14:textId="77777777" w:rsidR="009E6C78" w:rsidRDefault="00000000">
      <w:pPr>
        <w:spacing w:line="240" w:lineRule="auto"/>
        <w:rPr>
          <w:rFonts w:ascii="Verdana" w:hAnsi="Verdana"/>
        </w:rPr>
      </w:pPr>
      <w:r>
        <w:rPr>
          <w:rFonts w:ascii="Verdana" w:hAnsi="Verdana"/>
        </w:rPr>
        <w:t>PPG: Teresa Allen (TA, Chair), Jane Burrett (JB) (from item 4), Tomy Duby (TD), Alex Dutton (AD), Julie Evans (JE), Hayley Holmes (HH), Patsy Parsons (PP), Christine Tulloch (CT), Janet Wardell (JW)</w:t>
      </w:r>
    </w:p>
    <w:p w14:paraId="661A979B" w14:textId="77777777" w:rsidR="009E6C78" w:rsidRDefault="00000000">
      <w:pPr>
        <w:pStyle w:val="ListParagraph"/>
        <w:numPr>
          <w:ilvl w:val="0"/>
          <w:numId w:val="1"/>
        </w:numPr>
        <w:spacing w:line="240" w:lineRule="auto"/>
        <w:rPr>
          <w:rFonts w:ascii="Verdana" w:hAnsi="Verdana"/>
          <w:b/>
        </w:rPr>
      </w:pPr>
      <w:r>
        <w:rPr>
          <w:rFonts w:ascii="Verdana" w:hAnsi="Verdana"/>
          <w:b/>
        </w:rPr>
        <w:t xml:space="preserve">Apologies </w:t>
      </w:r>
      <w:r>
        <w:rPr>
          <w:rFonts w:ascii="Verdana" w:hAnsi="Verdana"/>
          <w:bCs/>
        </w:rPr>
        <w:t>were received from Monica Mehers.</w:t>
      </w:r>
    </w:p>
    <w:p w14:paraId="2536FB10" w14:textId="77777777" w:rsidR="009E6C78" w:rsidRDefault="00000000">
      <w:pPr>
        <w:pStyle w:val="ListParagraph"/>
        <w:spacing w:line="240" w:lineRule="auto"/>
        <w:ind w:left="360"/>
        <w:rPr>
          <w:rFonts w:ascii="Verdana" w:hAnsi="Verdana"/>
          <w:bCs/>
        </w:rPr>
      </w:pPr>
      <w:r>
        <w:rPr>
          <w:rFonts w:ascii="Verdana" w:hAnsi="Verdana"/>
          <w:bCs/>
        </w:rPr>
        <w:t>JH welcomed CD to the meeting, interim PCN Manager, and reported that the practice has appointed a new PCN Manager who will start in mid-September.</w:t>
      </w:r>
    </w:p>
    <w:p w14:paraId="494A61EA" w14:textId="77777777" w:rsidR="009E6C78" w:rsidRDefault="009E6C78">
      <w:pPr>
        <w:pStyle w:val="ListParagraph"/>
        <w:spacing w:line="240" w:lineRule="auto"/>
        <w:ind w:left="360"/>
        <w:rPr>
          <w:rFonts w:ascii="Verdana" w:hAnsi="Verdana"/>
          <w:b/>
        </w:rPr>
      </w:pPr>
    </w:p>
    <w:p w14:paraId="459B2453" w14:textId="77777777" w:rsidR="009E6C78" w:rsidRDefault="00000000">
      <w:pPr>
        <w:pStyle w:val="ListParagraph"/>
        <w:numPr>
          <w:ilvl w:val="0"/>
          <w:numId w:val="1"/>
        </w:numPr>
        <w:spacing w:line="240" w:lineRule="auto"/>
        <w:rPr>
          <w:rFonts w:ascii="Verdana" w:hAnsi="Verdana"/>
          <w:b/>
        </w:rPr>
      </w:pPr>
      <w:r>
        <w:rPr>
          <w:rFonts w:ascii="Verdana" w:hAnsi="Verdana"/>
          <w:b/>
        </w:rPr>
        <w:t>MINUTES OF THE MEETING OF 11</w:t>
      </w:r>
      <w:r>
        <w:rPr>
          <w:rFonts w:ascii="Verdana" w:hAnsi="Verdana"/>
          <w:b/>
          <w:vertAlign w:val="superscript"/>
        </w:rPr>
        <w:t>th</w:t>
      </w:r>
      <w:r>
        <w:rPr>
          <w:rFonts w:ascii="Verdana" w:hAnsi="Verdana"/>
          <w:b/>
        </w:rPr>
        <w:t xml:space="preserve"> MARCH 2026</w:t>
      </w:r>
    </w:p>
    <w:p w14:paraId="6BCD6794" w14:textId="77777777" w:rsidR="009E6C78" w:rsidRDefault="00000000">
      <w:pPr>
        <w:spacing w:line="240" w:lineRule="auto"/>
        <w:ind w:firstLine="360"/>
        <w:rPr>
          <w:rFonts w:ascii="Verdana" w:hAnsi="Verdana"/>
          <w:bCs/>
        </w:rPr>
      </w:pPr>
      <w:r>
        <w:rPr>
          <w:rFonts w:ascii="Verdana" w:hAnsi="Verdana"/>
          <w:bCs/>
        </w:rPr>
        <w:t xml:space="preserve">The Minutes were approved.  </w:t>
      </w:r>
    </w:p>
    <w:p w14:paraId="420B9A64" w14:textId="77777777" w:rsidR="009E6C78" w:rsidRDefault="00000000">
      <w:pPr>
        <w:pStyle w:val="ListParagraph"/>
        <w:numPr>
          <w:ilvl w:val="0"/>
          <w:numId w:val="1"/>
        </w:numPr>
        <w:spacing w:line="240" w:lineRule="auto"/>
        <w:rPr>
          <w:rFonts w:ascii="Verdana" w:hAnsi="Verdana"/>
          <w:b/>
        </w:rPr>
      </w:pPr>
      <w:r>
        <w:rPr>
          <w:rFonts w:ascii="Verdana" w:hAnsi="Verdana"/>
          <w:b/>
        </w:rPr>
        <w:t>MATTERS ARISING (not otherwise on the agenda):</w:t>
      </w:r>
    </w:p>
    <w:p w14:paraId="522ED14F" w14:textId="77777777" w:rsidR="009E6C78" w:rsidRDefault="00000000">
      <w:pPr>
        <w:ind w:left="360"/>
        <w:rPr>
          <w:rFonts w:ascii="Verdana" w:hAnsi="Verdana"/>
          <w:bCs/>
        </w:rPr>
      </w:pPr>
      <w:r>
        <w:rPr>
          <w:rFonts w:ascii="Verdana" w:hAnsi="Verdana"/>
          <w:bCs/>
        </w:rPr>
        <w:t>The location of possible children’s area(s) will be discussed during the walk-round after this meeting.  It was noted that the tree graphic in the 2</w:t>
      </w:r>
      <w:r>
        <w:rPr>
          <w:rFonts w:ascii="Verdana" w:hAnsi="Verdana"/>
          <w:bCs/>
          <w:vertAlign w:val="superscript"/>
        </w:rPr>
        <w:t>nd</w:t>
      </w:r>
      <w:r>
        <w:rPr>
          <w:rFonts w:ascii="Verdana" w:hAnsi="Verdana"/>
          <w:bCs/>
        </w:rPr>
        <w:t xml:space="preserve"> waiting area can be reinstated. </w:t>
      </w:r>
    </w:p>
    <w:p w14:paraId="69209B83" w14:textId="77777777" w:rsidR="009E6C78" w:rsidRDefault="00000000">
      <w:pPr>
        <w:ind w:left="360"/>
        <w:rPr>
          <w:rFonts w:ascii="Verdana" w:hAnsi="Verdana"/>
          <w:bCs/>
        </w:rPr>
      </w:pPr>
      <w:r>
        <w:rPr>
          <w:rFonts w:ascii="Verdana" w:hAnsi="Verdana"/>
          <w:bCs/>
        </w:rPr>
        <w:t>JH reported that the ‘How do I get an appointment’ leaflet will still be needed as it is useful for those patients who do not access information digitally.  It still needs to be updated to align with the information on the BHC website.</w:t>
      </w:r>
    </w:p>
    <w:p w14:paraId="22FAEC4C" w14:textId="77777777" w:rsidR="009E6C78" w:rsidRDefault="00000000">
      <w:pPr>
        <w:ind w:left="360"/>
        <w:rPr>
          <w:rFonts w:ascii="Verdana" w:hAnsi="Verdana"/>
          <w:bCs/>
        </w:rPr>
      </w:pPr>
      <w:r>
        <w:rPr>
          <w:rFonts w:ascii="Verdana" w:hAnsi="Verdana"/>
          <w:bCs/>
        </w:rPr>
        <w:t>It was noted that the ‘Diabetes Care’ leaflet can now be decommissioned.</w:t>
      </w:r>
    </w:p>
    <w:p w14:paraId="0F47F52E" w14:textId="77777777" w:rsidR="009E6C78" w:rsidRDefault="00000000">
      <w:pPr>
        <w:ind w:left="360"/>
        <w:rPr>
          <w:rFonts w:ascii="Verdana" w:hAnsi="Verdana"/>
          <w:bCs/>
          <w:i/>
          <w:iCs/>
        </w:rPr>
      </w:pPr>
      <w:r>
        <w:rPr>
          <w:rFonts w:ascii="Verdana" w:hAnsi="Verdana"/>
          <w:bCs/>
        </w:rPr>
        <w:t xml:space="preserve">PP reported that a named contact from the BHC website and coding team is essential to ensure PPG information is updated and clearly visible.  </w:t>
      </w:r>
      <w:r>
        <w:rPr>
          <w:rFonts w:ascii="Verdana" w:hAnsi="Verdana"/>
          <w:bCs/>
          <w:i/>
          <w:iCs/>
        </w:rPr>
        <w:t>JH to</w:t>
      </w:r>
      <w:r>
        <w:rPr>
          <w:rFonts w:ascii="Verdana" w:hAnsi="Verdana"/>
          <w:bCs/>
        </w:rPr>
        <w:t xml:space="preserve"> </w:t>
      </w:r>
      <w:r>
        <w:rPr>
          <w:rFonts w:ascii="Verdana" w:hAnsi="Verdana"/>
          <w:bCs/>
          <w:i/>
          <w:iCs/>
        </w:rPr>
        <w:t>action this.</w:t>
      </w:r>
    </w:p>
    <w:p w14:paraId="5695A9D2" w14:textId="77777777" w:rsidR="009E6C78" w:rsidRDefault="00000000">
      <w:pPr>
        <w:ind w:left="360"/>
        <w:rPr>
          <w:rFonts w:ascii="Verdana" w:hAnsi="Verdana"/>
          <w:bCs/>
          <w:i/>
          <w:iCs/>
        </w:rPr>
      </w:pPr>
      <w:r>
        <w:rPr>
          <w:rFonts w:ascii="Verdana" w:hAnsi="Verdana"/>
          <w:bCs/>
        </w:rPr>
        <w:t xml:space="preserve">JH noted that it would be possible to inform patients about the cost of missed appointments as auto-reminders are sent.  It was queried whether non-attendance was followed up – this would only be in cases where children are on the safeguarding register, or where a clinician reviews the reason for the appointment and would action if considered necessary.  The practice does write to patients where there are multiple ‘did not attend’ instances.  It was felt that it is an important message which should be communicated before, rather than after, appointments, to encourage patients to ensure they contact the surgery if they are unable to attend, so that the appointment time can be offered to someone else.  HH noted that a study showed that non-attendance was reduced by around a quarter when the cost of missed appointments was communicated.  It was felt that the information could be included on a slide, on the appointment reminder message, and on the Facebook group.  </w:t>
      </w:r>
      <w:r>
        <w:rPr>
          <w:rFonts w:ascii="Verdana" w:hAnsi="Verdana"/>
          <w:bCs/>
          <w:i/>
          <w:iCs/>
        </w:rPr>
        <w:t>JH to agree appropriate wording.</w:t>
      </w:r>
    </w:p>
    <w:p w14:paraId="46A0BB66" w14:textId="77777777" w:rsidR="009E6C78" w:rsidRDefault="00000000">
      <w:pPr>
        <w:pStyle w:val="ListParagraph"/>
        <w:numPr>
          <w:ilvl w:val="0"/>
          <w:numId w:val="1"/>
        </w:numPr>
        <w:spacing w:line="240" w:lineRule="auto"/>
        <w:rPr>
          <w:rFonts w:ascii="Verdana" w:hAnsi="Verdana"/>
          <w:b/>
        </w:rPr>
      </w:pPr>
      <w:r>
        <w:rPr>
          <w:rFonts w:ascii="Verdana" w:hAnsi="Verdana"/>
          <w:b/>
        </w:rPr>
        <w:t>PATIENT PARTICIPATION GROUP</w:t>
      </w:r>
    </w:p>
    <w:p w14:paraId="1F42174A" w14:textId="77777777" w:rsidR="009E6C78" w:rsidRDefault="00000000">
      <w:pPr>
        <w:ind w:left="360"/>
        <w:rPr>
          <w:rFonts w:ascii="Verdana" w:hAnsi="Verdana"/>
          <w:bCs/>
        </w:rPr>
      </w:pPr>
      <w:r>
        <w:rPr>
          <w:rFonts w:ascii="Verdana" w:hAnsi="Verdana"/>
          <w:bCs/>
        </w:rPr>
        <w:t xml:space="preserve">The group discussed issues including recruitment of new members, whether the group is representative of the patient demographic, whether the timing of </w:t>
      </w:r>
      <w:r>
        <w:rPr>
          <w:rFonts w:ascii="Verdana" w:hAnsi="Verdana"/>
          <w:bCs/>
        </w:rPr>
        <w:lastRenderedPageBreak/>
        <w:t>meetings could be changed to encourage participation, and what the practice sees as the purpose of the PPG.</w:t>
      </w:r>
    </w:p>
    <w:p w14:paraId="4584468D" w14:textId="77777777" w:rsidR="009E6C78" w:rsidRDefault="00000000">
      <w:pPr>
        <w:ind w:left="360"/>
        <w:rPr>
          <w:rFonts w:ascii="Verdana" w:hAnsi="Verdana"/>
          <w:bCs/>
        </w:rPr>
      </w:pPr>
      <w:r>
        <w:rPr>
          <w:rFonts w:ascii="Verdana" w:hAnsi="Verdana"/>
          <w:bCs/>
        </w:rPr>
        <w:t>During the discussion, the following points were noted:</w:t>
      </w:r>
    </w:p>
    <w:p w14:paraId="7E9372CD" w14:textId="77777777" w:rsidR="009E6C78" w:rsidRDefault="00000000">
      <w:pPr>
        <w:ind w:left="360"/>
        <w:rPr>
          <w:rFonts w:ascii="Verdana" w:hAnsi="Verdana"/>
          <w:bCs/>
        </w:rPr>
      </w:pPr>
      <w:r>
        <w:rPr>
          <w:rFonts w:ascii="Verdana" w:hAnsi="Verdana"/>
          <w:bCs/>
        </w:rPr>
        <w:t xml:space="preserve">After viewing some stats of the BHC population age profile and ethnicity, it was noted that the group was not representative of the patient demographic, however, it was felt that members do try to consider all age and ethnic groups when considering various issues.  </w:t>
      </w:r>
    </w:p>
    <w:p w14:paraId="79A80BAB" w14:textId="77777777" w:rsidR="009E6C78" w:rsidRDefault="00000000">
      <w:pPr>
        <w:ind w:left="360"/>
        <w:rPr>
          <w:rFonts w:ascii="Verdana" w:hAnsi="Verdana"/>
          <w:bCs/>
        </w:rPr>
      </w:pPr>
      <w:r>
        <w:rPr>
          <w:rFonts w:ascii="Verdana" w:hAnsi="Verdana"/>
          <w:bCs/>
        </w:rPr>
        <w:t xml:space="preserve">TA reported that there are challenges when attempting to recruit ethnic minorities to research studies, for example, as the information about the study is always in English, creating difficulties for those with English as a second language.  Within primary care, the language barrier can be particularly challenging, and non-white populations are more reluctant to seek out information.  It was noted that in Bicester, there is a low proportion of ethnic minority and non-English speaking groups and, in JH’s experience, it is asylum seekers who have the greatest difficulties with barriers to both language and cultural understanding.  </w:t>
      </w:r>
    </w:p>
    <w:p w14:paraId="3ED4A039" w14:textId="77777777" w:rsidR="009E6C78" w:rsidRDefault="00000000">
      <w:pPr>
        <w:ind w:left="360"/>
        <w:rPr>
          <w:rFonts w:ascii="Verdana" w:hAnsi="Verdana"/>
          <w:bCs/>
        </w:rPr>
      </w:pPr>
      <w:r>
        <w:rPr>
          <w:rFonts w:ascii="Verdana" w:hAnsi="Verdana"/>
          <w:bCs/>
        </w:rPr>
        <w:t>It was agreed that the PPG needs to recruit more members and efforts should be made to encourage a wider range of ages and ethnicity.  It was suggested that all Bicester PPGs could have a stall at Bicester Market.  TA noted that when recruiting blood donors from ethnic minority groups it was more successful to go and meet them within their community groups.  JB suggested she contact the CDC Healthy Bicester Stakeholders Event organiser as a number of representatives from local charities had attended the event in March.  JB will also contact the organiser of Bicester Market.</w:t>
      </w:r>
    </w:p>
    <w:p w14:paraId="7E138358" w14:textId="77777777" w:rsidR="009E6C78" w:rsidRDefault="00000000">
      <w:pPr>
        <w:ind w:left="360"/>
        <w:rPr>
          <w:rFonts w:ascii="Verdana" w:hAnsi="Verdana"/>
          <w:bCs/>
        </w:rPr>
      </w:pPr>
      <w:r>
        <w:rPr>
          <w:rFonts w:ascii="Verdana" w:hAnsi="Verdana"/>
          <w:bCs/>
        </w:rPr>
        <w:t xml:space="preserve">The possibility of changing the timing of meetings might attract younger members, although there would still be issues around childcare, etc., after working hours.  HH felt that having the option of attending meetings virtually, and the flexibility of not having to attend every meeting is helpful.  </w:t>
      </w:r>
    </w:p>
    <w:p w14:paraId="4DA2C29A" w14:textId="77777777" w:rsidR="009E6C78" w:rsidRDefault="00000000">
      <w:pPr>
        <w:ind w:left="360"/>
        <w:rPr>
          <w:rFonts w:ascii="Verdana" w:hAnsi="Verdana"/>
          <w:bCs/>
        </w:rPr>
      </w:pPr>
      <w:r>
        <w:rPr>
          <w:rFonts w:ascii="Verdana" w:hAnsi="Verdana"/>
          <w:bCs/>
        </w:rPr>
        <w:t>JH noted that the practice views the role of the PPG as being essential, particularly as a sounding board, and gives the practice a better idea of the patient experience. It has been helpful in improving services and delivery of care.</w:t>
      </w:r>
    </w:p>
    <w:p w14:paraId="78105C8B" w14:textId="77777777" w:rsidR="009E6C78" w:rsidRDefault="00000000">
      <w:pPr>
        <w:ind w:left="360"/>
        <w:rPr>
          <w:rFonts w:ascii="Verdana" w:hAnsi="Verdana"/>
          <w:bCs/>
        </w:rPr>
      </w:pPr>
      <w:r>
        <w:rPr>
          <w:rFonts w:ascii="Verdana" w:hAnsi="Verdana"/>
          <w:bCs/>
        </w:rPr>
        <w:t xml:space="preserve">Members shared some uncertainty about the role and effectiveness of the PPG given the pressures on NHS services and funding alongside frustrations about communications within the NHS.  It was felt there are fundamental misunderstandings and expectations of health services generally.  CD noted that complaints from patients via the Friends and Family Feedback are normally about waiting too long on the telephone, waiting too long to see a clinician in the surgery, and cancelled appointments.  </w:t>
      </w:r>
    </w:p>
    <w:p w14:paraId="26BB2F18" w14:textId="77777777" w:rsidR="009E6C78" w:rsidRDefault="00000000">
      <w:pPr>
        <w:ind w:left="360"/>
        <w:rPr>
          <w:rFonts w:ascii="Verdana" w:hAnsi="Verdana"/>
          <w:bCs/>
        </w:rPr>
      </w:pPr>
      <w:r>
        <w:rPr>
          <w:rFonts w:ascii="Verdana" w:hAnsi="Verdana"/>
          <w:bCs/>
        </w:rPr>
        <w:t xml:space="preserve">The focus of the PPG should be about the service provided by the practice, and what we can influence directly, particularly as situations within the NHS change rapidly.  However, as there is often a lack of co-ordination between primary and secondary care, patients don’t always know who to contact when, for example, test results from hospital have not been received.  </w:t>
      </w:r>
    </w:p>
    <w:p w14:paraId="760A6316" w14:textId="77777777" w:rsidR="009E6C78" w:rsidRDefault="00000000">
      <w:pPr>
        <w:ind w:left="360"/>
        <w:rPr>
          <w:rFonts w:ascii="Verdana" w:hAnsi="Verdana"/>
          <w:bCs/>
        </w:rPr>
      </w:pPr>
      <w:r>
        <w:rPr>
          <w:rFonts w:ascii="Verdana" w:hAnsi="Verdana"/>
          <w:bCs/>
        </w:rPr>
        <w:lastRenderedPageBreak/>
        <w:t>JH noted that the PPG had been progressive in trying to improve the patient experience over the last few years and, as a result, improvements have been made to communications and messaging, and ways of making appointments.</w:t>
      </w:r>
    </w:p>
    <w:p w14:paraId="07884C1D" w14:textId="77777777" w:rsidR="009E6C78" w:rsidRDefault="00000000">
      <w:pPr>
        <w:ind w:left="360"/>
        <w:rPr>
          <w:rFonts w:ascii="Verdana" w:hAnsi="Verdana"/>
          <w:bCs/>
        </w:rPr>
      </w:pPr>
      <w:r>
        <w:rPr>
          <w:rFonts w:ascii="Verdana" w:hAnsi="Verdana"/>
          <w:bCs/>
        </w:rPr>
        <w:t>With regard to future PPG initiatives, JH noted that GP practices are currently in between contracts and it remains uncertain as to what the new neighbourhoods will become.  It had been useful when PCNs were developing to have input from the PPG.  He felt that there is scope for Patient Champions to develop more groups.</w:t>
      </w:r>
    </w:p>
    <w:p w14:paraId="12DCB773" w14:textId="77777777" w:rsidR="009E6C78" w:rsidRDefault="00000000">
      <w:pPr>
        <w:ind w:left="360"/>
        <w:rPr>
          <w:rFonts w:ascii="Verdana" w:hAnsi="Verdana"/>
          <w:bCs/>
        </w:rPr>
      </w:pPr>
      <w:r>
        <w:rPr>
          <w:rFonts w:ascii="Verdana" w:hAnsi="Verdana"/>
          <w:bCs/>
        </w:rPr>
        <w:t xml:space="preserve">TA noted that Healthwatch may be disbanded in 2027 which is disappointing as they are the primary group to represent the views of patients at Trust meetings. </w:t>
      </w:r>
    </w:p>
    <w:p w14:paraId="3876721F" w14:textId="77777777" w:rsidR="009E6C78" w:rsidRDefault="00000000">
      <w:pPr>
        <w:ind w:left="360"/>
        <w:rPr>
          <w:rFonts w:ascii="Verdana" w:hAnsi="Verdana"/>
          <w:bCs/>
        </w:rPr>
      </w:pPr>
      <w:r>
        <w:rPr>
          <w:rFonts w:ascii="Verdana" w:hAnsi="Verdana"/>
          <w:bCs/>
        </w:rPr>
        <w:t>TA thanked everyone for a useful discussion, and asked members for any  feedback post-meeting.</w:t>
      </w:r>
    </w:p>
    <w:p w14:paraId="3304E3B5" w14:textId="77777777" w:rsidR="009E6C78" w:rsidRDefault="00000000">
      <w:pPr>
        <w:ind w:left="360"/>
        <w:rPr>
          <w:rFonts w:ascii="Verdana" w:hAnsi="Verdana"/>
          <w:bCs/>
        </w:rPr>
      </w:pPr>
      <w:r>
        <w:rPr>
          <w:rFonts w:ascii="Verdana" w:hAnsi="Verdana"/>
          <w:bCs/>
        </w:rPr>
        <w:t>Actions from the discussion:</w:t>
      </w:r>
    </w:p>
    <w:p w14:paraId="5DA0656D" w14:textId="77777777" w:rsidR="009E6C78" w:rsidRDefault="00000000">
      <w:pPr>
        <w:ind w:left="360"/>
        <w:rPr>
          <w:rFonts w:ascii="Verdana" w:hAnsi="Verdana"/>
          <w:bCs/>
          <w:i/>
          <w:iCs/>
        </w:rPr>
      </w:pPr>
      <w:r>
        <w:rPr>
          <w:rFonts w:ascii="Verdana" w:hAnsi="Verdana"/>
          <w:bCs/>
          <w:i/>
          <w:iCs/>
        </w:rPr>
        <w:t>JB to contact other groups (CDC Healthy Bicester and Bicester Market) to establish how the PPG can engage with and support needs of differing demographics.</w:t>
      </w:r>
    </w:p>
    <w:p w14:paraId="6D5FFC28" w14:textId="77777777" w:rsidR="009E6C78" w:rsidRDefault="00000000">
      <w:pPr>
        <w:ind w:left="360"/>
        <w:rPr>
          <w:rFonts w:ascii="Verdana" w:hAnsi="Verdana"/>
          <w:bCs/>
          <w:i/>
          <w:iCs/>
        </w:rPr>
      </w:pPr>
      <w:r>
        <w:rPr>
          <w:rFonts w:ascii="Verdana" w:hAnsi="Verdana"/>
          <w:bCs/>
          <w:i/>
          <w:iCs/>
        </w:rPr>
        <w:t>HH to ask for new members on the PPG Facebook group (completed).</w:t>
      </w:r>
    </w:p>
    <w:p w14:paraId="16598A83" w14:textId="77777777" w:rsidR="009E6C78" w:rsidRDefault="00000000">
      <w:pPr>
        <w:pStyle w:val="ListParagraph"/>
        <w:numPr>
          <w:ilvl w:val="0"/>
          <w:numId w:val="1"/>
        </w:numPr>
        <w:spacing w:line="240" w:lineRule="auto"/>
        <w:rPr>
          <w:rFonts w:ascii="Verdana" w:hAnsi="Verdana"/>
          <w:b/>
        </w:rPr>
      </w:pPr>
      <w:r>
        <w:rPr>
          <w:rFonts w:ascii="Verdana" w:hAnsi="Verdana"/>
          <w:b/>
        </w:rPr>
        <w:t>BHC/PRIMARY CARE NETWORK (PCN) UPDATE</w:t>
      </w:r>
    </w:p>
    <w:p w14:paraId="0423805C" w14:textId="77777777" w:rsidR="009E6C78" w:rsidRDefault="00000000">
      <w:pPr>
        <w:spacing w:line="240" w:lineRule="auto"/>
        <w:ind w:left="360"/>
        <w:rPr>
          <w:rFonts w:ascii="Verdana" w:hAnsi="Verdana"/>
          <w:bCs/>
        </w:rPr>
      </w:pPr>
      <w:r>
        <w:rPr>
          <w:rFonts w:ascii="Verdana" w:hAnsi="Verdana"/>
          <w:bCs/>
        </w:rPr>
        <w:t>CT noted that hospitals now seem to be discharging patients home to community care as early as they can, and asked how much of an impact this is having on the practice.  JH reported that this is part of a move towards more care in the community and a reaction to bed pressures in hospitals.  The practice is seeing more of this, and it is often the case the patients end up going back into hospital.  The PCN has an Integrated Neighbourhood Team who work with community services (District Nurses, et al) to co-ordinate care, which has reduced the impact of early discharge and has improved patient care.  The team review discharges daily.  There is a separate funding stream for this from the ICB.</w:t>
      </w:r>
    </w:p>
    <w:p w14:paraId="610008CF" w14:textId="77777777" w:rsidR="009E6C78" w:rsidRDefault="00000000">
      <w:pPr>
        <w:spacing w:line="240" w:lineRule="auto"/>
        <w:ind w:left="360"/>
        <w:rPr>
          <w:rFonts w:ascii="Verdana" w:hAnsi="Verdana"/>
          <w:bCs/>
        </w:rPr>
      </w:pPr>
      <w:r>
        <w:rPr>
          <w:rFonts w:ascii="Verdana" w:hAnsi="Verdana"/>
          <w:bCs/>
        </w:rPr>
        <w:t>Update on 26/27 GP contract – JH reported that there have been delays with the new contract, so it remains uncertain.  The PCN contract has been renewed, which is similar to last year, and includes the expectation that clinically urgent cases will be seen within 24 hours.</w:t>
      </w:r>
    </w:p>
    <w:p w14:paraId="595EE0AA" w14:textId="77777777" w:rsidR="009E6C78" w:rsidRDefault="00000000">
      <w:pPr>
        <w:spacing w:line="240" w:lineRule="auto"/>
        <w:ind w:left="360"/>
        <w:rPr>
          <w:rFonts w:ascii="Verdana" w:hAnsi="Verdana"/>
          <w:bCs/>
        </w:rPr>
      </w:pPr>
      <w:r>
        <w:rPr>
          <w:rFonts w:ascii="Verdana" w:hAnsi="Verdana"/>
          <w:bCs/>
        </w:rPr>
        <w:t>Patient Champions – JH reported that progress with a 1-2-1 volunteer scheme has been delayed due to DBS checks, but a meeting has been held with the Bicester Good Neighbour Scheme co-ordinator to discuss processes and when and where to start.</w:t>
      </w:r>
    </w:p>
    <w:p w14:paraId="27DDB014" w14:textId="77777777" w:rsidR="009E6C78" w:rsidRDefault="00000000">
      <w:pPr>
        <w:pStyle w:val="ListParagraph"/>
        <w:numPr>
          <w:ilvl w:val="0"/>
          <w:numId w:val="1"/>
        </w:numPr>
        <w:spacing w:line="240" w:lineRule="auto"/>
        <w:rPr>
          <w:rFonts w:ascii="Verdana" w:hAnsi="Verdana"/>
          <w:b/>
        </w:rPr>
      </w:pPr>
      <w:r>
        <w:rPr>
          <w:rFonts w:ascii="Verdana" w:hAnsi="Verdana"/>
          <w:b/>
        </w:rPr>
        <w:t>LEAFLETS</w:t>
      </w:r>
    </w:p>
    <w:p w14:paraId="7EB8AC54" w14:textId="77777777" w:rsidR="009E6C78" w:rsidRDefault="00000000">
      <w:pPr>
        <w:ind w:left="360"/>
        <w:rPr>
          <w:rFonts w:ascii="Verdana" w:hAnsi="Verdana"/>
          <w:bCs/>
          <w:i/>
          <w:iCs/>
        </w:rPr>
      </w:pPr>
      <w:r>
        <w:rPr>
          <w:rFonts w:ascii="Verdana" w:hAnsi="Verdana"/>
          <w:bCs/>
        </w:rPr>
        <w:t xml:space="preserve">PP reported that the comments from the last meeting have been actioned, and the leaflets have been re-formatted to the Z-fold and are ready to be printed and put onto the website.  </w:t>
      </w:r>
      <w:r>
        <w:rPr>
          <w:rFonts w:ascii="Verdana" w:hAnsi="Verdana"/>
          <w:bCs/>
          <w:i/>
          <w:iCs/>
        </w:rPr>
        <w:t>Final versions are to be sent to CD for printing and to update the website so that only current leaflets are shown.</w:t>
      </w:r>
    </w:p>
    <w:p w14:paraId="0DB81425" w14:textId="77777777" w:rsidR="009E6C78" w:rsidRDefault="009E6C78">
      <w:pPr>
        <w:ind w:left="360"/>
        <w:rPr>
          <w:rFonts w:ascii="Verdana" w:hAnsi="Verdana"/>
          <w:bCs/>
        </w:rPr>
      </w:pPr>
    </w:p>
    <w:p w14:paraId="69E98C0E" w14:textId="77777777" w:rsidR="009E6C78" w:rsidRDefault="00000000">
      <w:pPr>
        <w:pStyle w:val="ListParagraph"/>
        <w:numPr>
          <w:ilvl w:val="0"/>
          <w:numId w:val="1"/>
        </w:numPr>
        <w:spacing w:line="240" w:lineRule="auto"/>
        <w:rPr>
          <w:rFonts w:ascii="Verdana" w:hAnsi="Verdana"/>
          <w:b/>
        </w:rPr>
      </w:pPr>
      <w:r>
        <w:rPr>
          <w:rFonts w:ascii="Verdana" w:hAnsi="Verdana"/>
          <w:b/>
        </w:rPr>
        <w:t>SLIDES FOR WAITING ROOM SCREENS</w:t>
      </w:r>
    </w:p>
    <w:p w14:paraId="3FAEF344" w14:textId="77777777" w:rsidR="009E6C78" w:rsidRDefault="00000000">
      <w:pPr>
        <w:ind w:left="360"/>
        <w:rPr>
          <w:rFonts w:ascii="Verdana" w:hAnsi="Verdana"/>
          <w:bCs/>
        </w:rPr>
      </w:pPr>
      <w:r>
        <w:rPr>
          <w:rFonts w:ascii="Verdana" w:hAnsi="Verdana"/>
          <w:bCs/>
        </w:rPr>
        <w:t>PP reported that she and TD have updated the slides – the group approved the updated version, and thanked those involved for producing both the slides and the leaflets.  HH noted the QR code for the Facebook group no longer works – this was resolved.</w:t>
      </w:r>
    </w:p>
    <w:p w14:paraId="35B74D0C" w14:textId="77777777" w:rsidR="009E6C78" w:rsidRDefault="00000000">
      <w:pPr>
        <w:pStyle w:val="ListParagraph"/>
        <w:numPr>
          <w:ilvl w:val="0"/>
          <w:numId w:val="1"/>
        </w:numPr>
        <w:spacing w:line="240" w:lineRule="auto"/>
        <w:rPr>
          <w:rFonts w:ascii="Verdana" w:hAnsi="Verdana"/>
          <w:b/>
        </w:rPr>
      </w:pPr>
      <w:r>
        <w:rPr>
          <w:rFonts w:ascii="Verdana" w:hAnsi="Verdana"/>
          <w:b/>
        </w:rPr>
        <w:t>PPG FACEBOOK GROUP</w:t>
      </w:r>
    </w:p>
    <w:p w14:paraId="54139AED" w14:textId="77777777" w:rsidR="009E6C78" w:rsidRDefault="00000000">
      <w:pPr>
        <w:spacing w:line="240" w:lineRule="auto"/>
        <w:ind w:left="360"/>
        <w:rPr>
          <w:rFonts w:ascii="Verdana" w:hAnsi="Verdana"/>
          <w:bCs/>
        </w:rPr>
      </w:pPr>
      <w:r>
        <w:rPr>
          <w:rFonts w:ascii="Verdana" w:hAnsi="Verdana"/>
          <w:bCs/>
        </w:rPr>
        <w:t>HH reported that the group had been quiet and had no new members for the last 6 months, although this partly may be due to the QR code not working!</w:t>
      </w:r>
    </w:p>
    <w:p w14:paraId="0F2B6093" w14:textId="77777777" w:rsidR="009E6C78" w:rsidRDefault="00000000">
      <w:pPr>
        <w:pStyle w:val="ListParagraph"/>
        <w:numPr>
          <w:ilvl w:val="0"/>
          <w:numId w:val="1"/>
        </w:numPr>
        <w:spacing w:line="240" w:lineRule="auto"/>
        <w:rPr>
          <w:rFonts w:ascii="Verdana" w:hAnsi="Verdana"/>
          <w:b/>
        </w:rPr>
      </w:pPr>
      <w:r>
        <w:rPr>
          <w:rFonts w:ascii="Verdana" w:hAnsi="Verdana"/>
          <w:b/>
        </w:rPr>
        <w:t>AOB</w:t>
      </w:r>
    </w:p>
    <w:p w14:paraId="0E249F27" w14:textId="77777777" w:rsidR="009E6C78" w:rsidRDefault="00000000">
      <w:pPr>
        <w:spacing w:line="240" w:lineRule="auto"/>
        <w:ind w:left="360"/>
        <w:rPr>
          <w:rFonts w:ascii="Verdana" w:hAnsi="Verdana"/>
          <w:bCs/>
        </w:rPr>
      </w:pPr>
      <w:r w:rsidRPr="0077739A">
        <w:rPr>
          <w:rFonts w:ascii="Verdana" w:hAnsi="Verdana"/>
          <w:b/>
        </w:rPr>
        <w:t>The Patients Association Webinar and AGM of 9</w:t>
      </w:r>
      <w:r w:rsidRPr="0077739A">
        <w:rPr>
          <w:rFonts w:ascii="Verdana" w:hAnsi="Verdana"/>
          <w:b/>
          <w:vertAlign w:val="superscript"/>
        </w:rPr>
        <w:t>th</w:t>
      </w:r>
      <w:r w:rsidRPr="0077739A">
        <w:rPr>
          <w:rFonts w:ascii="Verdana" w:hAnsi="Verdana"/>
          <w:b/>
        </w:rPr>
        <w:t xml:space="preserve"> June</w:t>
      </w:r>
      <w:r>
        <w:rPr>
          <w:rFonts w:ascii="Verdana" w:hAnsi="Verdana"/>
          <w:bCs/>
        </w:rPr>
        <w:t xml:space="preserve"> – JB reported that she had watched the webinar prior to the AGM entitled ‘Wrap services around patients’.  Her notes were circulated prior to this meeting.  In summary, JB felt that the Patients Association, a charity, has too wide a remit to be particularly useful to PPGs.  The main theme to come from participants was that NHS England are more concerned with targets and statistics rather than the patient voice.  JH noted that this has been the same for decades with successive governments – there is too much focus on box-ticking, with the need to demonstrate delivery against targets.  JB noted that, previously, BHC had subscribed to NAPP (National Association for Patient Participation) but it had seemed to lose momentum post-Covid.  It was agreed that the PPG continue to subscribe to the Patients Association, but JB should establish whether NAPP had re-focussed.  </w:t>
      </w:r>
      <w:r>
        <w:rPr>
          <w:rFonts w:ascii="Verdana" w:hAnsi="Verdana"/>
          <w:bCs/>
          <w:i/>
          <w:iCs/>
        </w:rPr>
        <w:t>[Post-meeting note: NAPP has been disbanded.]</w:t>
      </w:r>
    </w:p>
    <w:p w14:paraId="2DFA540A" w14:textId="77777777" w:rsidR="009E6C78" w:rsidRDefault="00000000">
      <w:pPr>
        <w:spacing w:line="240" w:lineRule="auto"/>
        <w:ind w:left="360"/>
        <w:rPr>
          <w:rFonts w:ascii="Verdana" w:hAnsi="Verdana"/>
          <w:bCs/>
        </w:rPr>
      </w:pPr>
      <w:r w:rsidRPr="0077739A">
        <w:rPr>
          <w:rFonts w:ascii="Verdana" w:hAnsi="Verdana"/>
          <w:b/>
        </w:rPr>
        <w:t>Transgender healthcare:</w:t>
      </w:r>
      <w:r>
        <w:rPr>
          <w:rFonts w:ascii="Verdana" w:hAnsi="Verdana"/>
          <w:bCs/>
        </w:rPr>
        <w:t xml:space="preserve"> in response to a query about the practice's policies and approach to supporting transgender patients in their healthcare, the following points were made:</w:t>
      </w:r>
    </w:p>
    <w:p w14:paraId="7776D84C" w14:textId="5B7A871A" w:rsidR="009E6C78" w:rsidRDefault="00000000">
      <w:pPr>
        <w:spacing w:line="240" w:lineRule="auto"/>
        <w:ind w:left="360"/>
        <w:rPr>
          <w:rFonts w:ascii="Verdana" w:hAnsi="Verdana"/>
          <w:bCs/>
        </w:rPr>
      </w:pPr>
      <w:r>
        <w:rPr>
          <w:rFonts w:ascii="Verdana" w:hAnsi="Verdana"/>
          <w:bCs/>
        </w:rPr>
        <w:t xml:space="preserve">Transgender patients are those where their sense of gender does not match the gender assigned at birth and wish to make a transition, socially and potentially medically.  Medical transition may involve hormone therapy, and can include surgery, although this is not available on the NHS in a practical timeframe, with waiting lists following referral of over ten years to be offered a first appointment at an NHS gender dysphoria clinic.  </w:t>
      </w:r>
    </w:p>
    <w:p w14:paraId="2554E58E" w14:textId="0829F3DA" w:rsidR="009E6C78" w:rsidRDefault="00000000">
      <w:pPr>
        <w:spacing w:line="240" w:lineRule="auto"/>
        <w:ind w:left="360"/>
        <w:rPr>
          <w:rFonts w:ascii="Verdana" w:hAnsi="Verdana"/>
          <w:bCs/>
        </w:rPr>
      </w:pPr>
      <w:r>
        <w:rPr>
          <w:rFonts w:ascii="Verdana" w:hAnsi="Verdana"/>
          <w:bCs/>
        </w:rPr>
        <w:t>Due to the sustained negative attacks in the media, by politicians, and in the courts, there was concern expressed that there could be a wariness among healthcare professionals in supporting transgender patients, explaining the apparent difficulty in obtaining prescriptions for hormone therapy from GPs.  This results in many patients going to private endocrinologists, which is expensive, and asking GPs to prescribe following specialist recommendation from their endocrinologist.  If a patient is unable to access NHS or private care, they may opt to buy medications online. This carries the risks of an unregulated supply chain, incorrect dosing, and an absence of clinical monitoring and oversight.</w:t>
      </w:r>
    </w:p>
    <w:p w14:paraId="44F73B7F" w14:textId="115686FD" w:rsidR="009E6C78" w:rsidRDefault="00000000">
      <w:pPr>
        <w:spacing w:line="240" w:lineRule="auto"/>
        <w:ind w:left="360"/>
        <w:rPr>
          <w:rFonts w:ascii="Verdana" w:hAnsi="Verdana"/>
          <w:bCs/>
        </w:rPr>
      </w:pPr>
      <w:r>
        <w:rPr>
          <w:rFonts w:ascii="Verdana" w:hAnsi="Verdana"/>
          <w:bCs/>
        </w:rPr>
        <w:t xml:space="preserve">JH responded that the fact GPs are not typically involved in prescribing for transgender patients </w:t>
      </w:r>
      <w:r w:rsidR="0077739A">
        <w:rPr>
          <w:rFonts w:ascii="Verdana" w:hAnsi="Verdana"/>
          <w:bCs/>
        </w:rPr>
        <w:t xml:space="preserve">is not, in the opinion of JH, </w:t>
      </w:r>
      <w:r>
        <w:rPr>
          <w:rFonts w:ascii="Verdana" w:hAnsi="Verdana"/>
          <w:bCs/>
        </w:rPr>
        <w:t xml:space="preserve">a reflection of prejudice or </w:t>
      </w:r>
      <w:r>
        <w:rPr>
          <w:rFonts w:ascii="Verdana" w:hAnsi="Verdana"/>
          <w:bCs/>
        </w:rPr>
        <w:lastRenderedPageBreak/>
        <w:t>media coverage but part of a wider issue that prescribing certain types of medications in primary care falls under specific prescribing guidelines and arrangements.</w:t>
      </w:r>
      <w:r w:rsidR="0077739A">
        <w:rPr>
          <w:rFonts w:ascii="Verdana" w:hAnsi="Verdana"/>
          <w:bCs/>
        </w:rPr>
        <w:t xml:space="preserve">  </w:t>
      </w:r>
      <w:r>
        <w:rPr>
          <w:rFonts w:ascii="Verdana" w:hAnsi="Verdana"/>
          <w:bCs/>
        </w:rPr>
        <w:t>A local formulary lists those medications GPs are able to prescribe, and includes a certain number which are not prescribed at all, those which can only be prescribed by a consultant, and those which can be prescribed with the approval of a consultant but then only under a formal “shared care agreement” which is an agreement laying out prescribing and monitoring responsibilities of both specialist and GP. Examples of medications that could be prescribed under shared care agreement include ADHD medication</w:t>
      </w:r>
      <w:r>
        <w:rPr>
          <w:rFonts w:ascii="Verdana" w:eastAsia="Verdana" w:hAnsi="Verdana" w:cs="Verdana"/>
          <w:bCs/>
        </w:rPr>
        <w:t>, and triptorelin for precocious puberty</w:t>
      </w:r>
      <w:r w:rsidR="0077739A">
        <w:rPr>
          <w:rFonts w:ascii="Verdana" w:eastAsia="Verdana" w:hAnsi="Verdana" w:cs="Verdana"/>
          <w:bCs/>
        </w:rPr>
        <w:t>,</w:t>
      </w:r>
      <w:r w:rsidR="009645B8">
        <w:rPr>
          <w:rFonts w:ascii="Verdana" w:eastAsia="Verdana" w:hAnsi="Verdana" w:cs="Verdana"/>
          <w:bCs/>
        </w:rPr>
        <w:t xml:space="preserve"> </w:t>
      </w:r>
      <w:sdt>
        <w:sdtPr>
          <w:tag w:val="goog_rdk_34"/>
          <w:id w:val="-745003146"/>
        </w:sdtPr>
        <w:sdtContent>
          <w:r>
            <w:rPr>
              <w:rFonts w:ascii="Verdana" w:eastAsia="Verdana" w:hAnsi="Verdana" w:cs="Verdana"/>
              <w:bCs/>
            </w:rPr>
            <w:t>and other treatments for transgender healthcare such as testosterone</w:t>
          </w:r>
        </w:sdtContent>
      </w:sdt>
      <w:sdt>
        <w:sdtPr>
          <w:tag w:val="goog_rdk_36"/>
          <w:id w:val="-1864888631"/>
        </w:sdtPr>
        <w:sdtContent/>
      </w:sdt>
      <w:r>
        <w:rPr>
          <w:rFonts w:ascii="Verdana" w:hAnsi="Verdana"/>
          <w:bCs/>
        </w:rPr>
        <w:t xml:space="preserve">.  There is currently no shared care arrangement in Oxfordshire for hormone prescriptions for transgender patients. </w:t>
      </w:r>
      <w:r w:rsidR="0077739A">
        <w:rPr>
          <w:rFonts w:ascii="Verdana" w:hAnsi="Verdana"/>
          <w:bCs/>
        </w:rPr>
        <w:t xml:space="preserve"> </w:t>
      </w:r>
      <w:r>
        <w:rPr>
          <w:rFonts w:ascii="Verdana" w:hAnsi="Verdana"/>
          <w:bCs/>
        </w:rPr>
        <w:t xml:space="preserve">GPs </w:t>
      </w:r>
      <w:r w:rsidR="0077739A">
        <w:rPr>
          <w:rFonts w:ascii="Verdana" w:hAnsi="Verdana"/>
          <w:bCs/>
        </w:rPr>
        <w:t>generally</w:t>
      </w:r>
      <w:r>
        <w:rPr>
          <w:rFonts w:ascii="Verdana" w:hAnsi="Verdana"/>
          <w:bCs/>
        </w:rPr>
        <w:t xml:space="preserve"> feel that they do not have the expertise to prescribe hormonal medication for transgender patients, so even if a shared care agreement was in place, ideally a GP with a special interest and the expertise would take this on for Oxfordshire patients, and be funded, but there is currently no system in place to do so.  </w:t>
      </w:r>
    </w:p>
    <w:p w14:paraId="5BB258D8" w14:textId="77777777" w:rsidR="009E6C78" w:rsidRDefault="00000000">
      <w:pPr>
        <w:spacing w:line="240" w:lineRule="auto"/>
        <w:ind w:left="360"/>
        <w:rPr>
          <w:rFonts w:ascii="Verdana" w:hAnsi="Verdana"/>
          <w:bCs/>
        </w:rPr>
      </w:pPr>
      <w:r>
        <w:rPr>
          <w:rFonts w:ascii="Verdana" w:hAnsi="Verdana"/>
          <w:bCs/>
        </w:rPr>
        <w:t>Prescribing is guided by safety, whether clinically appropriate, and cost.  Dr Fox is a member of the local prescribing committee.</w:t>
      </w:r>
    </w:p>
    <w:p w14:paraId="020621B0" w14:textId="77777777" w:rsidR="009E6C78" w:rsidRDefault="00000000">
      <w:pPr>
        <w:spacing w:line="240" w:lineRule="auto"/>
        <w:ind w:left="360"/>
        <w:rPr>
          <w:rFonts w:ascii="Verdana" w:hAnsi="Verdana"/>
          <w:bCs/>
        </w:rPr>
      </w:pPr>
      <w:r>
        <w:rPr>
          <w:rFonts w:ascii="Verdana" w:hAnsi="Verdana"/>
          <w:bCs/>
        </w:rPr>
        <w:t>A similar issue is the care of ADHD patients, and their access to medication.  The current general consensus in Oxfordshire is that these medications can only be prescribed with the approval of a consultant through a shared care arrangement, requiring additional monitoring and expertise.</w:t>
      </w:r>
    </w:p>
    <w:p w14:paraId="404705C6" w14:textId="78731D95" w:rsidR="009E6C78" w:rsidRDefault="00000000">
      <w:pPr>
        <w:spacing w:line="240" w:lineRule="auto"/>
        <w:ind w:left="360"/>
        <w:rPr>
          <w:rFonts w:ascii="Verdana" w:hAnsi="Verdana"/>
          <w:bCs/>
        </w:rPr>
      </w:pPr>
      <w:r>
        <w:rPr>
          <w:rFonts w:ascii="Verdana" w:hAnsi="Verdana"/>
          <w:bCs/>
        </w:rPr>
        <w:t>Transgender patients are often well-informed in their own healthcare and it was suggested that they could  assist GPs in understanding what they need and that it would be helpful if there was a particular GP who could take on a commitment to understanding the issues and monitor blood tests, etc.  JH responded that while there are patient</w:t>
      </w:r>
      <w:r w:rsidR="009645B8">
        <w:rPr>
          <w:rFonts w:ascii="Verdana" w:hAnsi="Verdana"/>
          <w:bCs/>
        </w:rPr>
        <w:t>s</w:t>
      </w:r>
      <w:r>
        <w:rPr>
          <w:rFonts w:ascii="Verdana" w:hAnsi="Verdana"/>
          <w:bCs/>
        </w:rPr>
        <w:t xml:space="preserve"> with knowledge of specific areas, GPs cannot be guided by patients in areas of prescribing in which they themselves (GPs) have no experience or formal training as the GP remains responsible and prescribing in this way would be unprofessional.  </w:t>
      </w:r>
    </w:p>
    <w:p w14:paraId="7FB5568B" w14:textId="77777777" w:rsidR="009E6C78" w:rsidRDefault="00000000">
      <w:pPr>
        <w:spacing w:line="240" w:lineRule="auto"/>
        <w:ind w:left="360"/>
        <w:rPr>
          <w:rFonts w:ascii="Verdana" w:hAnsi="Verdana"/>
          <w:bCs/>
        </w:rPr>
      </w:pPr>
      <w:r>
        <w:rPr>
          <w:rFonts w:ascii="Verdana" w:hAnsi="Verdana"/>
          <w:bCs/>
        </w:rPr>
        <w:t>It was queried whether there is a policy and support for those GPs who feel that these type of issues cut across their belief systems and ethical values, with regard, for example, to termination of pregnancy.  JH noted that healthcare professionals should always act in the best interest of their patients within the guidelines of the profession.</w:t>
      </w:r>
    </w:p>
    <w:p w14:paraId="6AC60CA0" w14:textId="77777777" w:rsidR="009E6C78" w:rsidRDefault="00000000">
      <w:pPr>
        <w:spacing w:line="240" w:lineRule="auto"/>
        <w:ind w:left="360"/>
        <w:rPr>
          <w:rFonts w:ascii="Verdana" w:hAnsi="Verdana"/>
          <w:bCs/>
          <w:i/>
          <w:iCs/>
        </w:rPr>
      </w:pPr>
      <w:r>
        <w:rPr>
          <w:rFonts w:ascii="Verdana" w:hAnsi="Verdana"/>
          <w:bCs/>
          <w:i/>
          <w:iCs/>
        </w:rPr>
        <w:t>It was agreed the issues raised be discussed further at the next meeting, and further information be circulated in the meantime to consider what the PPG are able to do practically to help.</w:t>
      </w:r>
    </w:p>
    <w:p w14:paraId="4ADF592D" w14:textId="77777777" w:rsidR="009E6C78" w:rsidRDefault="00000000">
      <w:pPr>
        <w:spacing w:line="240" w:lineRule="auto"/>
        <w:ind w:left="360"/>
        <w:rPr>
          <w:rFonts w:ascii="Verdana" w:hAnsi="Verdana"/>
          <w:bCs/>
        </w:rPr>
      </w:pPr>
      <w:r>
        <w:rPr>
          <w:rFonts w:ascii="Verdana" w:hAnsi="Verdana"/>
          <w:bCs/>
        </w:rPr>
        <w:t>TA thanked everyone for an informative and interesting discussion.</w:t>
      </w:r>
    </w:p>
    <w:p w14:paraId="756CE158" w14:textId="77777777" w:rsidR="009E6C78" w:rsidRDefault="00000000">
      <w:pPr>
        <w:spacing w:line="240" w:lineRule="auto"/>
        <w:rPr>
          <w:rFonts w:ascii="Verdana" w:hAnsi="Verdana"/>
          <w:bCs/>
        </w:rPr>
      </w:pPr>
      <w:r>
        <w:rPr>
          <w:rFonts w:ascii="Verdana" w:hAnsi="Verdana"/>
          <w:bCs/>
        </w:rPr>
        <w:t>The meeting closed at 5.10 pm</w:t>
      </w:r>
    </w:p>
    <w:p w14:paraId="6D0DF08A" w14:textId="77777777" w:rsidR="009E6C78" w:rsidRDefault="009E6C78">
      <w:pPr>
        <w:spacing w:after="0" w:line="240" w:lineRule="auto"/>
        <w:ind w:left="360"/>
        <w:rPr>
          <w:rFonts w:ascii="Verdana" w:hAnsi="Verdana"/>
          <w:bCs/>
        </w:rPr>
      </w:pPr>
    </w:p>
    <w:p w14:paraId="4AD1DCD6" w14:textId="77777777" w:rsidR="009E6C78" w:rsidRDefault="00000000">
      <w:pPr>
        <w:spacing w:line="240" w:lineRule="auto"/>
        <w:rPr>
          <w:rFonts w:ascii="Verdana" w:hAnsi="Verdana"/>
          <w:b/>
        </w:rPr>
      </w:pPr>
      <w:r>
        <w:rPr>
          <w:rFonts w:ascii="Verdana" w:hAnsi="Verdana"/>
          <w:b/>
        </w:rPr>
        <w:t xml:space="preserve">NEXT MEETINGS:  </w:t>
      </w:r>
    </w:p>
    <w:p w14:paraId="7011DD93" w14:textId="77777777" w:rsidR="009E6C78" w:rsidRDefault="00000000">
      <w:pPr>
        <w:spacing w:line="240" w:lineRule="auto"/>
        <w:rPr>
          <w:rFonts w:ascii="Verdana" w:hAnsi="Verdana"/>
        </w:rPr>
      </w:pPr>
      <w:r>
        <w:rPr>
          <w:rFonts w:ascii="Verdana" w:hAnsi="Verdana"/>
        </w:rPr>
        <w:t>Wednesday 16</w:t>
      </w:r>
      <w:r>
        <w:rPr>
          <w:rFonts w:ascii="Verdana" w:hAnsi="Verdana"/>
          <w:vertAlign w:val="superscript"/>
        </w:rPr>
        <w:t xml:space="preserve">th </w:t>
      </w:r>
      <w:r>
        <w:rPr>
          <w:rFonts w:ascii="Verdana" w:hAnsi="Verdana"/>
        </w:rPr>
        <w:t>September 2026, 3.00-5.00 pm</w:t>
      </w:r>
    </w:p>
    <w:p w14:paraId="786E3674" w14:textId="77777777" w:rsidR="009E6C78" w:rsidRDefault="00000000">
      <w:pPr>
        <w:spacing w:after="0" w:line="240" w:lineRule="auto"/>
        <w:rPr>
          <w:rFonts w:ascii="Verdana" w:hAnsi="Verdana"/>
        </w:rPr>
      </w:pPr>
      <w:r>
        <w:rPr>
          <w:rFonts w:ascii="Verdana" w:hAnsi="Verdana"/>
        </w:rPr>
        <w:t>Wednesday 18</w:t>
      </w:r>
      <w:r>
        <w:rPr>
          <w:rFonts w:ascii="Verdana" w:hAnsi="Verdana"/>
          <w:vertAlign w:val="superscript"/>
        </w:rPr>
        <w:t>th</w:t>
      </w:r>
      <w:r>
        <w:rPr>
          <w:rFonts w:ascii="Verdana" w:hAnsi="Verdana"/>
        </w:rPr>
        <w:t xml:space="preserve"> November 2026, 3.00-5.00 pm</w:t>
      </w:r>
    </w:p>
    <w:p w14:paraId="372BE91E" w14:textId="77777777" w:rsidR="009E6C78" w:rsidRDefault="009E6C78">
      <w:pPr>
        <w:spacing w:after="0" w:line="240" w:lineRule="auto"/>
        <w:rPr>
          <w:rFonts w:ascii="Verdana" w:hAnsi="Verdana"/>
          <w:b/>
        </w:rPr>
      </w:pPr>
    </w:p>
    <w:p w14:paraId="2A9AE9CF" w14:textId="77777777" w:rsidR="009E6C78" w:rsidRDefault="00000000">
      <w:pPr>
        <w:rPr>
          <w:rFonts w:ascii="Verdana" w:hAnsi="Verdana"/>
          <w:b/>
          <w:bCs/>
        </w:rPr>
      </w:pPr>
      <w:r>
        <w:rPr>
          <w:rFonts w:ascii="Verdana" w:hAnsi="Verdana"/>
          <w:b/>
          <w:bCs/>
        </w:rPr>
        <w:lastRenderedPageBreak/>
        <w:t>ACTIONS:</w:t>
      </w:r>
    </w:p>
    <w:p w14:paraId="14086FBC" w14:textId="77777777" w:rsidR="009E6C78" w:rsidRDefault="00000000">
      <w:pPr>
        <w:rPr>
          <w:rFonts w:ascii="Verdana" w:hAnsi="Verdana"/>
          <w:bCs/>
        </w:rPr>
      </w:pPr>
      <w:r>
        <w:rPr>
          <w:rFonts w:ascii="Verdana" w:hAnsi="Verdana"/>
          <w:bCs/>
        </w:rPr>
        <w:t>JH to notify PP of a named contact from the BHC website and coding team to ensure PPG information is updated and clearly visible.</w:t>
      </w:r>
    </w:p>
    <w:p w14:paraId="22B3485B" w14:textId="77777777" w:rsidR="009E6C78" w:rsidRDefault="00000000">
      <w:pPr>
        <w:rPr>
          <w:rFonts w:ascii="Verdana" w:hAnsi="Verdana"/>
          <w:bCs/>
        </w:rPr>
      </w:pPr>
      <w:r>
        <w:rPr>
          <w:rFonts w:ascii="Verdana" w:hAnsi="Verdana"/>
          <w:bCs/>
        </w:rPr>
        <w:t>JH to agree appropriate wording re cost of missed appointments.</w:t>
      </w:r>
    </w:p>
    <w:p w14:paraId="52EB825B" w14:textId="77777777" w:rsidR="009E6C78" w:rsidRDefault="00000000">
      <w:pPr>
        <w:rPr>
          <w:rFonts w:ascii="Verdana" w:hAnsi="Verdana"/>
          <w:bCs/>
        </w:rPr>
      </w:pPr>
      <w:r>
        <w:rPr>
          <w:rFonts w:ascii="Verdana" w:hAnsi="Verdana"/>
          <w:bCs/>
        </w:rPr>
        <w:t>JB to contact other groups (CDC Healthy Bicester and Bicester Market) to establish how the PPG can engage with and support needs of differing demographics.</w:t>
      </w:r>
    </w:p>
    <w:p w14:paraId="2FF4B8D9" w14:textId="77777777" w:rsidR="009E6C78" w:rsidRDefault="00000000">
      <w:pPr>
        <w:rPr>
          <w:rFonts w:ascii="Verdana" w:hAnsi="Verdana"/>
          <w:bCs/>
          <w:i/>
          <w:iCs/>
        </w:rPr>
      </w:pPr>
      <w:r>
        <w:rPr>
          <w:rFonts w:ascii="Verdana" w:hAnsi="Verdana"/>
          <w:bCs/>
          <w:i/>
          <w:iCs/>
        </w:rPr>
        <w:t>HH to ask for new members on the PPG Facebook group (completed).</w:t>
      </w:r>
    </w:p>
    <w:p w14:paraId="5A6423DD" w14:textId="77777777" w:rsidR="009E6C78" w:rsidRDefault="00000000">
      <w:pPr>
        <w:rPr>
          <w:rFonts w:ascii="Verdana" w:hAnsi="Verdana"/>
          <w:bCs/>
        </w:rPr>
      </w:pPr>
      <w:r>
        <w:rPr>
          <w:rFonts w:ascii="Verdana" w:hAnsi="Verdana"/>
          <w:bCs/>
        </w:rPr>
        <w:t>PP to send final versions of the leaflets to CD for printing and to update the website.</w:t>
      </w:r>
    </w:p>
    <w:p w14:paraId="4EC0B69E" w14:textId="77777777" w:rsidR="009E6C78" w:rsidRDefault="00000000">
      <w:pPr>
        <w:spacing w:line="240" w:lineRule="auto"/>
        <w:rPr>
          <w:rFonts w:ascii="Verdana" w:hAnsi="Verdana"/>
          <w:bCs/>
        </w:rPr>
      </w:pPr>
      <w:r>
        <w:rPr>
          <w:rFonts w:ascii="Verdana" w:hAnsi="Verdana"/>
          <w:bCs/>
        </w:rPr>
        <w:t>An item on support of transgender and other disadvantaged groups to be included on the next agenda (JW).</w:t>
      </w:r>
    </w:p>
    <w:sectPr w:rsidR="009E6C78">
      <w:footerReference w:type="even" r:id="rId8"/>
      <w:footerReference w:type="default" r:id="rId9"/>
      <w:footerReference w:type="first" r:id="rId10"/>
      <w:pgSz w:w="11906" w:h="16838"/>
      <w:pgMar w:top="1440" w:right="1440" w:bottom="1440" w:left="1440"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316F3F" w14:textId="77777777" w:rsidR="00BB13F6" w:rsidRDefault="00BB13F6">
      <w:pPr>
        <w:spacing w:after="0" w:line="240" w:lineRule="auto"/>
      </w:pPr>
      <w:r>
        <w:separator/>
      </w:r>
    </w:p>
  </w:endnote>
  <w:endnote w:type="continuationSeparator" w:id="0">
    <w:p w14:paraId="2F82C277" w14:textId="77777777" w:rsidR="00BB13F6" w:rsidRDefault="00BB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523E49" w14:textId="77777777" w:rsidR="009E6C78" w:rsidRDefault="009E6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F2654" w14:textId="77777777" w:rsidR="009E6C78" w:rsidRDefault="00000000">
    <w:pPr>
      <w:pStyle w:val="Footer"/>
    </w:pPr>
    <w:r>
      <w:t>JW</w:t>
    </w:r>
    <w:r>
      <w:tab/>
    </w:r>
    <w:hyperlink r:id="rId1">
      <w:r w:rsidR="009E6C78">
        <w:rPr>
          <w:rStyle w:val="Hyperlink"/>
        </w:rPr>
        <w:t>bhc.ppg.f2f@gmail.com</w:t>
      </w:r>
    </w:hyperlink>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F3088" w14:textId="77777777" w:rsidR="009E6C78" w:rsidRDefault="00000000">
    <w:pPr>
      <w:pStyle w:val="Footer"/>
    </w:pPr>
    <w:r>
      <w:t>JW</w:t>
    </w:r>
    <w:r>
      <w:tab/>
    </w:r>
    <w:hyperlink r:id="rId1">
      <w:bookmarkStart w:id="0" w:name="_Hlk200026864"/>
      <w:r w:rsidR="009E6C78">
        <w:rPr>
          <w:rStyle w:val="Hyperlink"/>
        </w:rPr>
        <w:t>bhc.ppg.f2f@gmail.com</w:t>
      </w:r>
    </w:hyperlink>
    <w:bookmarkEnd w:id="0"/>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03B5D2" w14:textId="77777777" w:rsidR="00BB13F6" w:rsidRDefault="00BB13F6">
      <w:pPr>
        <w:spacing w:after="0" w:line="240" w:lineRule="auto"/>
      </w:pPr>
      <w:r>
        <w:separator/>
      </w:r>
    </w:p>
  </w:footnote>
  <w:footnote w:type="continuationSeparator" w:id="0">
    <w:p w14:paraId="2B925EDA" w14:textId="77777777" w:rsidR="00BB13F6" w:rsidRDefault="00BB1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508A3"/>
    <w:multiLevelType w:val="multilevel"/>
    <w:tmpl w:val="ECCABA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79AA3E2C"/>
    <w:multiLevelType w:val="multilevel"/>
    <w:tmpl w:val="A33E10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42037980">
    <w:abstractNumId w:val="0"/>
  </w:num>
  <w:num w:numId="2" w16cid:durableId="21128469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78"/>
    <w:rsid w:val="00254180"/>
    <w:rsid w:val="0027085E"/>
    <w:rsid w:val="00630B7F"/>
    <w:rsid w:val="0077739A"/>
    <w:rsid w:val="009645B8"/>
    <w:rsid w:val="009C12D8"/>
    <w:rsid w:val="009E6C78"/>
    <w:rsid w:val="00AF6FFC"/>
    <w:rsid w:val="00BB13F6"/>
    <w:rsid w:val="00CD00FC"/>
    <w:rsid w:val="00D91739"/>
    <w:rsid w:val="00DF36E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A65896B"/>
  <w15:docId w15:val="{969D8A30-DC5E-954D-8F71-97CEB145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F29"/>
    <w:pPr>
      <w:spacing w:after="160" w:line="259" w:lineRule="auto"/>
    </w:pPr>
  </w:style>
  <w:style w:type="paragraph" w:styleId="Heading1">
    <w:name w:val="heading 1"/>
    <w:basedOn w:val="Normal"/>
    <w:next w:val="Normal"/>
    <w:link w:val="Heading1Char"/>
    <w:uiPriority w:val="9"/>
    <w:qFormat/>
    <w:rsid w:val="00BF7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F7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BF7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BF7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BF7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BF7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BF7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BF7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BF7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BF7666"/>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BF7666"/>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BF7666"/>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BF7666"/>
    <w:rPr>
      <w:i/>
      <w:iCs/>
      <w:color w:val="404040" w:themeColor="text1" w:themeTint="BF"/>
    </w:rPr>
  </w:style>
  <w:style w:type="character" w:styleId="IntenseEmphasis">
    <w:name w:val="Intense Emphasis"/>
    <w:basedOn w:val="DefaultParagraphFont"/>
    <w:uiPriority w:val="21"/>
    <w:qFormat/>
    <w:rsid w:val="00BF7666"/>
    <w:rPr>
      <w:i/>
      <w:iCs/>
      <w:color w:val="0F4761" w:themeColor="accent1" w:themeShade="BF"/>
    </w:rPr>
  </w:style>
  <w:style w:type="character" w:customStyle="1" w:styleId="IntenseQuoteChar">
    <w:name w:val="Intense Quote Char"/>
    <w:basedOn w:val="DefaultParagraphFont"/>
    <w:link w:val="IntenseQuote"/>
    <w:uiPriority w:val="30"/>
    <w:qFormat/>
    <w:rsid w:val="00BF7666"/>
    <w:rPr>
      <w:i/>
      <w:iCs/>
      <w:color w:val="0F4761" w:themeColor="accent1" w:themeShade="BF"/>
    </w:rPr>
  </w:style>
  <w:style w:type="character" w:styleId="IntenseReference">
    <w:name w:val="Intense Reference"/>
    <w:basedOn w:val="DefaultParagraphFont"/>
    <w:uiPriority w:val="32"/>
    <w:qFormat/>
    <w:rsid w:val="00BF7666"/>
    <w:rPr>
      <w:b/>
      <w:bCs/>
      <w:smallCaps/>
      <w:color w:val="0F4761" w:themeColor="accent1" w:themeShade="BF"/>
      <w:spacing w:val="5"/>
    </w:rPr>
  </w:style>
  <w:style w:type="character" w:customStyle="1" w:styleId="HeaderChar">
    <w:name w:val="Header Char"/>
    <w:basedOn w:val="DefaultParagraphFont"/>
    <w:link w:val="Header"/>
    <w:uiPriority w:val="99"/>
    <w:qFormat/>
    <w:rsid w:val="00CE52B6"/>
  </w:style>
  <w:style w:type="character" w:customStyle="1" w:styleId="FooterChar">
    <w:name w:val="Footer Char"/>
    <w:basedOn w:val="DefaultParagraphFont"/>
    <w:link w:val="Footer"/>
    <w:uiPriority w:val="99"/>
    <w:qFormat/>
    <w:rsid w:val="00CE52B6"/>
  </w:style>
  <w:style w:type="character" w:styleId="Hyperlink">
    <w:name w:val="Hyperlink"/>
    <w:basedOn w:val="DefaultParagraphFont"/>
    <w:uiPriority w:val="99"/>
    <w:unhideWhenUsed/>
    <w:rsid w:val="00515420"/>
    <w:rPr>
      <w:color w:val="467886" w:themeColor="hyperlink"/>
      <w:u w:val="single"/>
    </w:rPr>
  </w:style>
  <w:style w:type="character" w:customStyle="1" w:styleId="UnresolvedMention1">
    <w:name w:val="Unresolved Mention1"/>
    <w:basedOn w:val="DefaultParagraphFont"/>
    <w:uiPriority w:val="99"/>
    <w:semiHidden/>
    <w:unhideWhenUsed/>
    <w:qFormat/>
    <w:rsid w:val="00515420"/>
    <w:rPr>
      <w:color w:val="605E5C"/>
      <w:shd w:val="clear" w:color="auto" w:fill="E1DFDD"/>
    </w:rPr>
  </w:style>
  <w:style w:type="character" w:customStyle="1" w:styleId="FootnoteTextChar">
    <w:name w:val="Footnote Text Char"/>
    <w:basedOn w:val="DefaultParagraphFont"/>
    <w:link w:val="FootnoteText"/>
    <w:uiPriority w:val="99"/>
    <w:semiHidden/>
    <w:qFormat/>
    <w:rsid w:val="00593B5B"/>
    <w:rPr>
      <w:rFonts w:eastAsiaTheme="minorEastAsia"/>
      <w:kern w:val="0"/>
      <w:sz w:val="20"/>
      <w:szCs w:val="20"/>
      <w14:ligatures w14:val="none"/>
    </w:rPr>
  </w:style>
  <w:style w:type="character" w:customStyle="1" w:styleId="FootnoteCharacters">
    <w:name w:val="Footnote Characters"/>
    <w:basedOn w:val="DefaultParagraphFont"/>
    <w:uiPriority w:val="99"/>
    <w:semiHidden/>
    <w:unhideWhenUsed/>
    <w:qFormat/>
    <w:rsid w:val="00593B5B"/>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593B5B"/>
    <w:rPr>
      <w:rFonts w:ascii="Tahoma" w:eastAsiaTheme="minorEastAsia" w:hAnsi="Tahoma" w:cs="Tahoma"/>
      <w:kern w:val="0"/>
      <w:sz w:val="16"/>
      <w:szCs w:val="16"/>
      <w14:ligatures w14:val="none"/>
    </w:rPr>
  </w:style>
  <w:style w:type="character" w:styleId="FollowedHyperlink">
    <w:name w:val="FollowedHyperlink"/>
    <w:basedOn w:val="DefaultParagraphFont"/>
    <w:uiPriority w:val="99"/>
    <w:semiHidden/>
    <w:unhideWhenUsed/>
    <w:rsid w:val="00593B5B"/>
    <w:rPr>
      <w:color w:val="96607D" w:themeColor="followedHyperlink"/>
      <w:u w:val="single"/>
    </w:rPr>
  </w:style>
  <w:style w:type="character" w:customStyle="1" w:styleId="apple-converted-space">
    <w:name w:val="apple-converted-space"/>
    <w:basedOn w:val="DefaultParagraphFont"/>
    <w:qFormat/>
    <w:rsid w:val="00593B5B"/>
  </w:style>
  <w:style w:type="character" w:customStyle="1" w:styleId="UnresolvedMention2">
    <w:name w:val="Unresolved Mention2"/>
    <w:basedOn w:val="DefaultParagraphFont"/>
    <w:uiPriority w:val="99"/>
    <w:semiHidden/>
    <w:unhideWhenUsed/>
    <w:qFormat/>
    <w:rsid w:val="004F44F5"/>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BF7666"/>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F7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666"/>
    <w:pPr>
      <w:spacing w:before="160"/>
      <w:jc w:val="center"/>
    </w:pPr>
    <w:rPr>
      <w:i/>
      <w:iCs/>
      <w:color w:val="404040" w:themeColor="text1" w:themeTint="BF"/>
    </w:rPr>
  </w:style>
  <w:style w:type="paragraph" w:styleId="ListParagraph">
    <w:name w:val="List Paragraph"/>
    <w:basedOn w:val="Normal"/>
    <w:uiPriority w:val="34"/>
    <w:qFormat/>
    <w:rsid w:val="00BF7666"/>
    <w:pPr>
      <w:ind w:left="720"/>
      <w:contextualSpacing/>
    </w:pPr>
  </w:style>
  <w:style w:type="paragraph" w:styleId="IntenseQuote">
    <w:name w:val="Intense Quote"/>
    <w:basedOn w:val="Normal"/>
    <w:next w:val="Normal"/>
    <w:link w:val="IntenseQuoteChar"/>
    <w:uiPriority w:val="30"/>
    <w:qFormat/>
    <w:rsid w:val="00BF7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E52B6"/>
    <w:pPr>
      <w:tabs>
        <w:tab w:val="center" w:pos="4513"/>
        <w:tab w:val="right" w:pos="9026"/>
      </w:tabs>
      <w:spacing w:after="0" w:line="240" w:lineRule="auto"/>
    </w:pPr>
  </w:style>
  <w:style w:type="paragraph" w:styleId="Footer">
    <w:name w:val="footer"/>
    <w:basedOn w:val="Normal"/>
    <w:link w:val="FooterChar"/>
    <w:uiPriority w:val="99"/>
    <w:unhideWhenUsed/>
    <w:rsid w:val="00CE52B6"/>
    <w:pPr>
      <w:tabs>
        <w:tab w:val="center" w:pos="4513"/>
        <w:tab w:val="right" w:pos="9026"/>
      </w:tabs>
      <w:spacing w:after="0" w:line="240" w:lineRule="auto"/>
    </w:pPr>
  </w:style>
  <w:style w:type="paragraph" w:styleId="FootnoteText">
    <w:name w:val="footnote text"/>
    <w:basedOn w:val="Normal"/>
    <w:link w:val="FootnoteTextChar"/>
    <w:uiPriority w:val="99"/>
    <w:semiHidden/>
    <w:unhideWhenUsed/>
    <w:rsid w:val="00593B5B"/>
    <w:pPr>
      <w:spacing w:after="0" w:line="240" w:lineRule="auto"/>
    </w:pPr>
    <w:rPr>
      <w:rFonts w:eastAsiaTheme="minorEastAsia"/>
      <w:kern w:val="0"/>
      <w:sz w:val="20"/>
      <w:szCs w:val="20"/>
      <w14:ligatures w14:val="none"/>
    </w:rPr>
  </w:style>
  <w:style w:type="paragraph" w:styleId="BalloonText">
    <w:name w:val="Balloon Text"/>
    <w:basedOn w:val="Normal"/>
    <w:link w:val="BalloonTextChar"/>
    <w:uiPriority w:val="99"/>
    <w:semiHidden/>
    <w:unhideWhenUsed/>
    <w:qFormat/>
    <w:rsid w:val="00593B5B"/>
    <w:pPr>
      <w:spacing w:after="0" w:line="240" w:lineRule="auto"/>
    </w:pPr>
    <w:rPr>
      <w:rFonts w:ascii="Tahoma" w:eastAsiaTheme="minorEastAsia" w:hAnsi="Tahoma" w:cs="Tahoma"/>
      <w:kern w:val="0"/>
      <w:sz w:val="16"/>
      <w:szCs w:val="16"/>
      <w14:ligatures w14:val="none"/>
    </w:rPr>
  </w:style>
  <w:style w:type="paragraph" w:customStyle="1" w:styleId="Body">
    <w:name w:val="Body"/>
    <w:qFormat/>
    <w:rsid w:val="00593B5B"/>
    <w:rPr>
      <w:rFonts w:ascii="Helvetica Neue" w:eastAsia="Arial Unicode MS" w:hAnsi="Helvetica Neue" w:cs="Arial Unicode MS"/>
      <w:color w:val="000000"/>
      <w:kern w:val="0"/>
      <w:lang w:val="en-US" w:eastAsia="en-GB"/>
      <w14:ligatures w14:val="none"/>
    </w:rPr>
  </w:style>
  <w:style w:type="paragraph" w:styleId="Revision">
    <w:name w:val="Revision"/>
    <w:uiPriority w:val="99"/>
    <w:semiHidden/>
    <w:qFormat/>
    <w:rsid w:val="00593B5B"/>
    <w:rPr>
      <w:rFonts w:ascii="Aptos" w:eastAsiaTheme="minorEastAsia" w:hAnsi="Aptos"/>
      <w:kern w:val="0"/>
      <w14:ligatures w14:val="none"/>
    </w:rPr>
  </w:style>
  <w:style w:type="paragraph" w:customStyle="1" w:styleId="Comment">
    <w:name w:val="Comment"/>
    <w:basedOn w:val="Normal"/>
    <w:qFormat/>
    <w:rPr>
      <w:sz w:val="20"/>
      <w:szCs w:val="20"/>
    </w:rPr>
  </w:style>
  <w:style w:type="table" w:styleId="TableGrid">
    <w:name w:val="Table Grid"/>
    <w:basedOn w:val="TableNormal"/>
    <w:uiPriority w:val="39"/>
    <w:rsid w:val="00593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bhc.ppg.f2f@gmai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hc.ppg.f2f@gmail.co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696BC-9364-452A-A3CE-5F6F851B9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2194</Words>
  <Characters>12509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Burrett</dc:creator>
  <dc:description/>
  <cp:lastModifiedBy>Janet Wardell</cp:lastModifiedBy>
  <cp:revision>2</cp:revision>
  <cp:lastPrinted>2026-07-03T15:04:00Z</cp:lastPrinted>
  <dcterms:created xsi:type="dcterms:W3CDTF">2026-09-17T15:10:00Z</dcterms:created>
  <dcterms:modified xsi:type="dcterms:W3CDTF">2026-09-17T15:10:00Z</dcterms:modified>
  <dc:language>en-GB</dc:language>
</cp:coreProperties>
</file>